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Tiverton and Minehead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Tiverton and Minehead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Tiverton and Minehead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Tiverton and Minehead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Tiverton and Minehead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Tiverton and Minehead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Tiverton and Minehead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Tiverton and Minehead is estimated to be </w:t>
      </w:r>
      <w:r w:rsidRPr="00773DF7">
        <w:rPr>
          <w:rFonts w:ascii="Libre Franklin Light" w:eastAsia="Times New Roman" w:hAnsi="Libre Franklin Light" w:cs="Calibri Light"/>
          <w:b/>
          <w:bCs/>
          <w:color w:val="C45911" w:themeColor="accent2" w:themeShade="BF"/>
        </w:rPr>
        <w:t xml:space="preserve">£745,954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Tiverton and Minehead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Tiverton and Minehead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Tiverton and Minehead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Tiverton and Minehead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iverton and Mineh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Tiverton and Minehead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iverton and Mineh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Tiverton and Minehead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Tiverton and Minehead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iverton and Mineh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Tiverton and Minehead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Tiverton and Minehead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Tiverton and Minehead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Tiverton and Minehead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Tiverton and Minehead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Tiverton and Minehead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£745,954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Tiverton and Minehead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£251,276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£450,182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£745,954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Tiverton and Minehead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Tiverton and Minehead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Tiverton and Minehead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Tiverton and Minehead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Tiverton and Minehead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Tiverton and Minehead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Tiverton and Minehead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Tiverton and Minehead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Tiverton and Minehead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Tiverton and Minehead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Tiverton and Minehead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Tiverton and Minehead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EC2DC83-98F2-4606-95FB-5DFF6A03CCF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